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97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945"/>
        <w:gridCol w:w="945"/>
        <w:gridCol w:w="1155"/>
        <w:gridCol w:w="1050"/>
        <w:gridCol w:w="1185"/>
        <w:gridCol w:w="1275"/>
        <w:gridCol w:w="615"/>
        <w:gridCol w:w="1680"/>
      </w:tblGrid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000000"/>
              <w:left w:val="none" w:sz="5" w:space="0" w:color="000000"/>
              <w:bottom w:val="single" w:sz="10" w:space="0" w:color="000000"/>
              <w:right w:val="none" w:sz="5" w:space="0" w:color="000000"/>
            </w:tcBorders>
            <w:shd w:val="clear" w:color="auto" w:fill="auto"/>
            <w:tcMar/>
            <w:textDirection w:val="lrTb"/>
            <w:vAlign w:val="bottom"/>
          </w:tcPr>
          <w:p>
            <w:pPr>
              <w:spacing w:after="0"/>
              <w:ind/>
              <w:wordWrap w:val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color w:val="000000"/>
              </w:rPr>
              <w:t>МБУ г.о. Тольятти «Досуговый центр «Русич»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8850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1. ОТКРЫТОСТЬ И ДОСТУПНОСТЬ ИНФОРМАЦИИ ОБ ОРГАНИЗАЦИИ</w:t>
            </w: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Показатели, характеризующие открытость и доступность информации об организации, измерялись посредством: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оценки контента информации о деятельности организации, размещенной на информационных стендах в помещении и на территории организации;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оценки контента информации о деятельности организации, размещенной на официальном сайте организации;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определения наличия на официальном сайте организации информации о дистанционных способах обратной связи и взаимодействия с получателями услуг, а также оценки их функционирования (телефона;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пр.), раздела «Часто задаваемые вопросы», 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нее);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определения доли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и на официальном сайте организации (в % от общего числа опрошенных получателей услуг).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bottom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i/>
                <w:b/>
                <w:sz w:val="24"/>
                <w:szCs w:val="24"/>
                <w:color w:val="000000"/>
              </w:rPr>
              <w:t>1.1.  Соответствие информации о деятельности организации, размещенной на информационных стендах в помещении и на территории организации</w:t>
            </w: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В соответствии  со ст. 36.2. Основы законодательства Российской Федерации о культуре (утв. ВС РФ 09.10.1992 N 3612-1) (ред. от 30.04.2021) на информационных стендах организаций культуры необходимо разместить 13 документов.</w:t>
            </w:r>
          </w:p>
        </w:tc>
      </w:tr>
      <w:tr>
        <w:trPr>
          <w:cantSplit/>
          <w:trHeight w:val="0" w:hRule="auto"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  <w:r>
              <w:rPr>
                <w:rFonts w:ascii="Times New Roman" w:hAnsi="Times New Roman"/>
                <w:i/>
                <w:sz w:val="24"/>
                <w:szCs w:val="24"/>
                <w:color w:val="000000"/>
              </w:rPr>
              <w:t>Количество документов, размещенных на стенде на момент оценки: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tcMar/>
            <w:textDirection w:val="lrTb"/>
            <w:vAlign w:val="bottom"/>
          </w:tcPr>
          <w:p>
            <w:pPr>
              <w:spacing w:after="0"/>
              <w:ind/>
              <w:wordWrap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13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На информационном стенде размещена вся требуемая информация.</w:t>
            </w: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/>
            <w:textDirection w:val="lrTb"/>
            <w:vAlign w:val="bottom"/>
          </w:tcPr>
          <w:p>
            <w:pPr>
              <w:spacing w:after="0"/>
              <w:ind/>
              <w:wordWrap w:val="1"/>
              <w:jc w:val="center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/>
            <w:textDirection w:val="lrTb"/>
            <w:vAlign w:val="bottom"/>
          </w:tcPr>
          <w:p>
            <w:pPr>
              <w:spacing w:after="0"/>
              <w:ind/>
              <w:wordWrap w:val="1"/>
              <w:jc w:val="center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/>
            <w:textDirection w:val="lrTb"/>
            <w:vAlign w:val="bottom"/>
          </w:tcPr>
          <w:p>
            <w:pPr>
              <w:spacing w:after="0"/>
              <w:ind/>
              <w:wordWrap w:val="1"/>
              <w:jc w:val="center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/>
            <w:textDirection w:val="lrTb"/>
            <w:vAlign w:val="bottom"/>
          </w:tcPr>
          <w:p>
            <w:pPr>
              <w:spacing w:after="0"/>
              <w:ind/>
              <w:wordWrap w:val="1"/>
              <w:jc w:val="center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/>
            <w:textDirection w:val="lrTb"/>
            <w:vAlign w:val="bottom"/>
          </w:tcPr>
          <w:p>
            <w:pPr>
              <w:spacing w:after="0"/>
              <w:ind/>
              <w:wordWrap w:val="1"/>
              <w:jc w:val="center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/>
            <w:textDirection w:val="lrTb"/>
            <w:vAlign w:val="bottom"/>
          </w:tcPr>
          <w:p>
            <w:pPr>
              <w:spacing w:after="0"/>
              <w:ind/>
              <w:wordWrap w:val="1"/>
              <w:jc w:val="center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/>
            <w:textDirection w:val="lrTb"/>
            <w:vAlign w:val="bottom"/>
          </w:tcPr>
          <w:p>
            <w:pPr>
              <w:spacing w:after="0"/>
              <w:ind/>
              <w:wordWrap w:val="1"/>
              <w:jc w:val="center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/>
            <w:textDirection w:val="lrTb"/>
            <w:vAlign w:val="bottom"/>
          </w:tcPr>
          <w:p>
            <w:pPr>
              <w:spacing w:after="0"/>
              <w:ind/>
              <w:wordWrap w:val="1"/>
              <w:jc w:val="center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/>
            <w:textDirection w:val="lrTb"/>
            <w:vAlign w:val="bottom"/>
          </w:tcPr>
          <w:p>
            <w:pPr>
              <w:spacing w:after="0"/>
              <w:ind/>
              <w:wordWrap w:val="1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bottom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i/>
                <w:b/>
                <w:sz w:val="24"/>
                <w:szCs w:val="24"/>
                <w:color w:val="000000"/>
              </w:rPr>
              <w:t>1.2. Соответствие информации о деятельности организации, размещенной на официальном сайте организации в сети «Интернет»</w:t>
            </w: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В соответствии с приказом Минкультуры России от 20.02.2015 №277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на официальном сайте организации необходимо разместить 19 документов. </w:t>
            </w:r>
          </w:p>
        </w:tc>
      </w:tr>
      <w:tr>
        <w:trPr>
          <w:cantSplit/>
          <w:trHeight w:val="0" w:hRule="auto"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  <w:r>
              <w:rPr>
                <w:rFonts w:ascii="Times New Roman" w:hAnsi="Times New Roman"/>
                <w:i/>
                <w:sz w:val="24"/>
                <w:szCs w:val="24"/>
                <w:color w:val="000000"/>
              </w:rPr>
              <w:t>Количество документов, размещенных на сайте на момент оценки: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tcMar/>
            <w:textDirection w:val="lrTb"/>
            <w:vAlign w:val="bottom"/>
          </w:tcPr>
          <w:p>
            <w:pPr>
              <w:spacing w:after="0"/>
              <w:ind/>
              <w:wordWrap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18</w:t>
            </w: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Необходимо обеспечить размещение на сайте следующих документов:</w:t>
            </w: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  <w:color w:val="000000"/>
              </w:rPr>
              <w:t>- Информация о планируемых мероприятиях</w:t>
            </w:r>
          </w:p>
        </w:tc>
      </w:tr>
      <w:p>
        <w:r>
          <w:br w:type="page"/>
        </w:r>
      </w:p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i/>
                <w:b/>
                <w:sz w:val="24"/>
                <w:szCs w:val="24"/>
                <w:color w:val="000000"/>
              </w:rPr>
              <w:t>1.3.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</w:t>
            </w: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В ходе независимой оценки проверялось функционирование 5-ти дистанционных способов обратной связи: посредством телефона, электронной почты, электронных сервисов обратной связи на сайте (форма обратной связи, онлайн-консультант и пр.), раздела «часто задаваемые вопросы», выражения получателем услуг мнения о качестве условий оказания услуг (наличие на сайте анкеты для опроса граждан или гиперссылки на нее).</w:t>
            </w:r>
          </w:p>
        </w:tc>
      </w:tr>
      <w:tr>
        <w:trPr>
          <w:cantSplit/>
          <w:trHeight w:val="0" w:hRule="auto"/>
        </w:trPr>
        <w:tc>
          <w:tcPr>
            <w:tcW w:w="7500" w:type="dxa"/>
            <w:gridSpan w:val="7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  <w:r>
              <w:rPr>
                <w:rFonts w:ascii="Times New Roman" w:hAnsi="Times New Roman"/>
                <w:i/>
                <w:sz w:val="24"/>
                <w:szCs w:val="24"/>
                <w:color w:val="000000"/>
              </w:rPr>
              <w:t>Число способов обратной связи, функционирующих на момент оценки:</w:t>
            </w: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tcMar/>
            <w:textDirection w:val="lrTb"/>
            <w:vAlign w:val="bottom"/>
          </w:tcPr>
          <w:p>
            <w:pPr>
              <w:spacing w:after="0"/>
              <w:ind/>
              <w:wordWrap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4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В ходе проверки организации были выявлены недостатки в функционировании следующих способов коммуникации с получателями услуг:</w:t>
            </w: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- В ходе оценки зафиксирован факт отсутствия раздела «Часто задаваемые вопросы». В целях обеспечения открытости и доступности информации об организации целесообразно разместить данный раздел на сайте организации.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/>
            <w:textDirection w:val="lrTb"/>
            <w:vAlign w:val="top"/>
          </w:tcPr>
          <w:p>
            <w:pPr>
              <w:spacing w:after="0"/>
              <w:ind/>
              <w:wordWrap w:val="1"/>
              <w:jc w:val="center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/>
            <w:textDirection w:val="lrTb"/>
            <w:vAlign w:val="top"/>
          </w:tcPr>
          <w:p>
            <w:pPr>
              <w:spacing w:after="0"/>
              <w:ind/>
              <w:wordWrap w:val="0"/>
              <w:jc w:val="center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/>
            <w:textDirection w:val="lrTb"/>
            <w:vAlign w:val="top"/>
          </w:tcPr>
          <w:p>
            <w:pPr>
              <w:spacing w:after="0"/>
              <w:ind/>
              <w:wordWrap w:val="0"/>
              <w:jc w:val="center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/>
            <w:textDirection w:val="lrTb"/>
            <w:vAlign w:val="top"/>
          </w:tcPr>
          <w:p>
            <w:pPr>
              <w:spacing w:after="0"/>
              <w:ind/>
              <w:wordWrap w:val="0"/>
              <w:jc w:val="center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/>
            <w:textDirection w:val="lrTb"/>
            <w:vAlign w:val="top"/>
          </w:tcPr>
          <w:p>
            <w:pPr>
              <w:spacing w:after="0"/>
              <w:ind/>
              <w:wordWrap w:val="0"/>
              <w:jc w:val="center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/>
            <w:textDirection w:val="lrTb"/>
            <w:vAlign w:val="top"/>
          </w:tcPr>
          <w:p>
            <w:pPr>
              <w:spacing w:after="0"/>
              <w:ind/>
              <w:wordWrap w:val="0"/>
              <w:jc w:val="center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/>
            <w:textDirection w:val="lrTb"/>
            <w:vAlign w:val="top"/>
          </w:tcPr>
          <w:p>
            <w:pPr>
              <w:spacing w:after="0"/>
              <w:ind/>
              <w:wordWrap w:val="0"/>
              <w:jc w:val="center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/>
            <w:textDirection w:val="lrTb"/>
            <w:vAlign w:val="top"/>
          </w:tcPr>
          <w:p>
            <w:pPr>
              <w:spacing w:after="0"/>
              <w:ind/>
              <w:wordWrap w:val="0"/>
              <w:jc w:val="center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/>
            <w:textDirection w:val="lrTb"/>
            <w:vAlign w:val="top"/>
          </w:tcPr>
          <w:p>
            <w:pPr>
              <w:spacing w:after="0"/>
              <w:ind/>
              <w:wordWrap w:val="0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i/>
                <w:b/>
                <w:sz w:val="24"/>
                <w:szCs w:val="24"/>
                <w:color w:val="000000"/>
              </w:rPr>
              <w:t>1.4. Удовлетворенность открытостью, полнотой и доступностью информации об организации</w:t>
            </w:r>
          </w:p>
        </w:tc>
      </w:tr>
      <w:tr>
        <w:trPr>
          <w:cantSplit/>
          <w:trHeight w:val="0" w:hRule="auto"/>
        </w:trPr>
        <w:tc>
          <w:tcPr>
            <w:tcW w:w="7500" w:type="dxa"/>
            <w:gridSpan w:val="7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В ходе проведения опроса получателей услуг зафиксирована</w:t>
            </w: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доля получателей услуг, удовлетворенных открытостью, полнотой и доступностью информации, размещенной на информационных стендах: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tcMar/>
            <w:textDirection w:val="lrTb"/>
            <w:vAlign w:val="center"/>
          </w:tcPr>
          <w:p>
            <w:pPr>
              <w:spacing w:after="0"/>
              <w:ind/>
              <w:wordWrap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96</w:t>
            </w:r>
          </w:p>
        </w:tc>
      </w:tr>
      <w:tr>
        <w:trPr>
          <w:cantSplit/>
          <w:trHeight w:val="0" w:hRule="auto"/>
        </w:trPr>
        <w:tc>
          <w:tcPr>
            <w:tcW w:w="189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  <w:r>
              <w:rPr>
                <w:rFonts w:ascii="Times New Roman" w:hAnsi="Times New Roman"/>
                <w:i/>
                <w:b/>
                <w:sz w:val="24"/>
                <w:szCs w:val="24"/>
                <w:color w:val="000000"/>
              </w:rPr>
              <w:t>Рекомендации:</w:t>
            </w: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Для сохранения высокого уровня удовлетворенности открытостью, полнотой и доступностью информации и его постоянного повышения, необходимо соблюдать определенные требования. Информация должна быть актуальной, своевременной и содержательной.  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Целесообразно проводить внутренний мониторинг удовлетворенности получателей услуг информационной политикой организации.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Доля получателей услуг, удовлетворенных открытостью, полнотой и доступностью информации, размещенной на сайте организации: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tcMar/>
            <w:textDirection w:val="lrTb"/>
            <w:vAlign w:val="center"/>
          </w:tcPr>
          <w:p>
            <w:pPr>
              <w:spacing w:after="0"/>
              <w:ind/>
              <w:wordWrap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94</w:t>
            </w:r>
          </w:p>
        </w:tc>
      </w:tr>
      <w:tr>
        <w:trPr>
          <w:cantSplit/>
          <w:trHeight w:val="0" w:hRule="auto"/>
        </w:trPr>
        <w:tc>
          <w:tcPr>
            <w:tcW w:w="189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  <w:r>
              <w:rPr>
                <w:rFonts w:ascii="Times New Roman" w:hAnsi="Times New Roman"/>
                <w:i/>
                <w:b/>
                <w:sz w:val="24"/>
                <w:szCs w:val="24"/>
                <w:color w:val="000000"/>
              </w:rPr>
              <w:t>Рекомендации:</w:t>
            </w: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Для сохранения высокого уровня удовлетворенности открытостью, полнотой и доступностью информации, размещенной на сайте организации, и его повышения, необходимо осуществлять контроль за своевременным обновлением контента сайта.  Необходимо проводить диагностику удобства навигации по сайту.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Целесообразно проводить внутренний мониторинг удовлетворенности получателей услуг информационной политикой организации.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p>
        <w:r>
          <w:br w:type="page"/>
        </w:r>
      </w:p>
      <w:tr>
        <w:trPr>
          <w:cantSplit/>
          <w:trHeight w:val="0" w:hRule="auto"/>
        </w:trPr>
        <w:tc>
          <w:tcPr>
            <w:tcW w:w="7500" w:type="dxa"/>
            <w:gridSpan w:val="7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2. КОМФОРТНОСТЬ УСЛОВИЙ ПРЕДОСТАВЛЕНИЯ УСЛУГ</w:t>
            </w: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  <w:r>
              <w:rPr>
                <w:rFonts w:ascii="Times New Roman" w:hAnsi="Times New Roman"/>
                <w:i/>
                <w:b/>
                <w:sz w:val="24"/>
                <w:szCs w:val="24"/>
                <w:color w:val="000000"/>
              </w:rPr>
              <w:t>2.1. Обеспечение в организации комфортных условий для предоставления услуг</w:t>
            </w: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Уровень и качество обеспечения комфортных условий предоставления услуг определялся посредством экспертной оценки внутренних помещений и внешней территории организации. Оценивалось наличие следующих условий: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наличие зоны ожидания (отдыха);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наличие и понятность навигации внутри организации;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доступная питьевая вода;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наличие и доступность санитарно-гигиенических помещений;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наличие и достаточность гардеробов;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санитарное состояние помещений организаций;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транспортная доступность (возможность доехать до организации на общественном транспорте, наличие парковки);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доступность записи на получение услуги (по телефону, на официальном сайте организации и пр.).</w:t>
            </w:r>
          </w:p>
        </w:tc>
      </w:tr>
      <w:tr>
        <w:trPr>
          <w:cantSplit/>
          <w:trHeight w:val="0" w:hRule="auto"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  <w:r>
              <w:rPr>
                <w:rFonts w:ascii="Times New Roman" w:hAnsi="Times New Roman"/>
                <w:i/>
                <w:sz w:val="24"/>
                <w:szCs w:val="24"/>
                <w:color w:val="000000"/>
              </w:rPr>
              <w:t>Количество условий комфортности на момент проведения оценки: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tcMar/>
            <w:textDirection w:val="lrTb"/>
            <w:vAlign w:val="bottom"/>
          </w:tcPr>
          <w:p>
            <w:pPr>
              <w:spacing w:after="0"/>
              <w:ind/>
              <w:wordWrap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7</w:t>
            </w: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/>
            <w:textDirection w:val="lrTb"/>
            <w:vAlign w:val="bottom"/>
          </w:tcPr>
          <w:p>
            <w:pPr>
              <w:spacing w:after="0"/>
              <w:ind/>
              <w:wordWrap w:val="0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Для повышения уровня комфортности необходимо обеспечить следующие  условия:</w:t>
            </w: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- наличие и доступность питьевой воды;</w:t>
            </w:r>
          </w:p>
        </w:tc>
      </w:tr>
      <w:tr>
        <w:trPr>
          <w:cantSplit/>
          <w:trHeight w:val="0" w:hRule="auto"/>
        </w:trPr>
        <w:tc>
          <w:tcPr>
            <w:tcW w:w="5040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  <w:r>
              <w:rPr>
                <w:rFonts w:ascii="Times New Roman" w:hAnsi="Times New Roman"/>
                <w:i/>
                <w:b/>
                <w:sz w:val="24"/>
                <w:szCs w:val="24"/>
                <w:color w:val="000000"/>
              </w:rPr>
              <w:t>2.2. Время ожидания предоставления услуги:</w:t>
            </w: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Показатель  «Время ожидания предоставления услуги» в сфере культуры не установлен.  Значение показателя рассчитывается как среднее арифметическое количество баллов по измеряемым критериям «Обеспечение в организации социальной сферы комфортных условий для предоставления услуг» и «Доля получателей услуг, удовлетворенных комфортностью предоставления услуг организацией социальной сферы».</w:t>
            </w:r>
          </w:p>
        </w:tc>
      </w:tr>
      <w:tr>
        <w:trPr>
          <w:cantSplit/>
          <w:trHeight w:val="0" w:hRule="auto"/>
        </w:trPr>
        <w:tc>
          <w:tcPr>
            <w:tcW w:w="8115" w:type="dxa"/>
            <w:gridSpan w:val="8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bottom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i/>
                <w:b/>
                <w:sz w:val="24"/>
                <w:szCs w:val="24"/>
                <w:color w:val="000000"/>
              </w:rPr>
              <w:t>2.3. Удовлетворенность комфортностью предоставления услуг</w:t>
            </w:r>
          </w:p>
        </w:tc>
      </w:tr>
      <w:tr>
        <w:trPr>
          <w:cantSplit/>
          <w:trHeight w:val="0" w:hRule="auto"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Доля получателей услуг, удовлетворенных комфортностью предоставления услуг: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tcMar/>
            <w:textDirection w:val="lrTb"/>
            <w:vAlign w:val="center"/>
          </w:tcPr>
          <w:p>
            <w:pPr>
              <w:spacing w:after="0"/>
              <w:ind/>
              <w:wordWrap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86</w:t>
            </w:r>
          </w:p>
        </w:tc>
      </w:tr>
      <w:tr>
        <w:trPr>
          <w:cantSplit/>
          <w:trHeight w:val="0" w:hRule="auto"/>
        </w:trPr>
        <w:tc>
          <w:tcPr>
            <w:tcW w:w="189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  <w:r>
              <w:rPr>
                <w:rFonts w:ascii="Times New Roman" w:hAnsi="Times New Roman"/>
                <w:i/>
                <w:b/>
                <w:sz w:val="24"/>
                <w:szCs w:val="24"/>
                <w:color w:val="000000"/>
              </w:rPr>
              <w:t>Рекомендации:</w:t>
            </w:r>
          </w:p>
        </w:tc>
        <w:tc>
          <w:tcPr>
            <w:tcW w:w="94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(в том числе, санитарно-гигиенических зон, в которых необходимо размещать автоматические сушилки или бумажные полотенца, мыло, туалетную бумагу), территории, прилегающей к зданию организации, следить за состоянием мебели, доступностью питьевой воды и понятностью навигации внутри помещений организации.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Целесообразно проводить внутренний мониторинг удовлетворенности получателей услуг комфортностью условий оказания услуг.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5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p>
        <w:r>
          <w:br w:type="page"/>
        </w:r>
      </w:p>
      <w:tr>
        <w:trPr>
          <w:cantSplit/>
          <w:trHeight w:val="0" w:hRule="auto"/>
        </w:trPr>
        <w:tc>
          <w:tcPr>
            <w:tcW w:w="6225" w:type="dxa"/>
            <w:gridSpan w:val="6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3. ДОСТУПНОСТЬ УСЛУГ ДЛЯ ИНВАЛИДОВ</w:t>
            </w: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возможностями, а также условий доступности, позволяющих инвалидам получать услуги наравне с другими. 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bottom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bottom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bottom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bottom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bottom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bottom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bottom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bottom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bottom"/>
          </w:tcPr>
          <w:p>
            <w:pPr>
              <w:spacing w:after="0"/>
              <w:ind w:left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bottom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i/>
                <w:b/>
                <w:sz w:val="24"/>
                <w:szCs w:val="24"/>
                <w:color w:val="000000"/>
              </w:rPr>
              <w:t>3.1. Оборудование помещений организации и прилегающей к ней территории с учетом доступности для инвалидов</w:t>
            </w: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В рамках независимой оценки качества условий оказания услуг оценивались следующие элементы доступной среды: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оборудование входных групп пандусами (подъемными платформами);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наличие выделенных стоянок для автотранспортных средств инвалидов;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наличие адаптированных лифтов, поручней, наличие расширенных дверных проемов;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наличие сменных кресел-колясок;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наличие специально оборудованных для инвалидов санитарно-гигиенических помещений.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  <w:r>
              <w:rPr>
                <w:rFonts w:ascii="Times New Roman" w:hAnsi="Times New Roman"/>
                <w:i/>
                <w:sz w:val="24"/>
                <w:szCs w:val="24"/>
                <w:color w:val="000000"/>
              </w:rPr>
              <w:t>Количество элементов доступной среды на момент проведения оценки: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tcMar/>
            <w:textDirection w:val="lrTb"/>
            <w:vAlign w:val="bottom"/>
          </w:tcPr>
          <w:p>
            <w:pPr>
              <w:spacing w:after="0"/>
              <w:ind/>
              <w:wordWrap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3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000000" w:fill="ffffff"/>
            <w:tcMar/>
            <w:textDirection w:val="lrTb"/>
            <w:vAlign w:val="bottom"/>
          </w:tcPr>
          <w:p>
            <w:pPr>
              <w:spacing w:after="0"/>
              <w:ind/>
              <w:wordWrap w:val="0"/>
              <w:jc w:val="center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Для обеспечения доступной среды для маломобильных получателей услуг необходимо оборудовать помещения и территорию организации следующими элементами:</w:t>
            </w: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- наличие выделенных стоянок для автотранспортных средств инвалидов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- наличие сменных кресел-колясок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bottom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i/>
                <w:b/>
                <w:sz w:val="24"/>
                <w:szCs w:val="24"/>
                <w:color w:val="000000"/>
              </w:rPr>
              <w:t>3.2. Обеспечение в организации условий доступности, позволяющих инвалидам получать услуги наравне с другими</w:t>
            </w: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Наряду с оценкой доступности помещений и прилегающих территорий организации производилась оценка условий доступности, позволяющих инвалидам получать услуги наравне с другими. Учитывались следующие условия доступности услуг: 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дублирование для инвалидов по слуху и зрению звуковой и зрительной информации;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возможность предоставления инвалидам по слуху (слуху и зрению) услуг сурдопереводчика (тифлосурдопереводчика);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наличие альтернативной версии официального сайта организации для инвалидов по зрению;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помощь, оказываемая работниками, прошедшими обучение по сопровождению инвалидов в помещении организации;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● наличие возможности предоставления услуги в дистанционном режиме или на дому.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5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  <w:r>
              <w:rPr>
                <w:rFonts w:ascii="Times New Roman" w:hAnsi="Times New Roman"/>
                <w:i/>
                <w:sz w:val="24"/>
                <w:szCs w:val="24"/>
                <w:color w:val="000000"/>
              </w:rPr>
              <w:t>Количество условий доступности для инвалидов: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tcMar/>
            <w:textDirection w:val="lrTb"/>
            <w:vAlign w:val="bottom"/>
          </w:tcPr>
          <w:p>
            <w:pPr>
              <w:spacing w:after="0"/>
              <w:ind/>
              <w:wordWrap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2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/>
            <w:textDirection w:val="lrTb"/>
            <w:vAlign w:val="bottom"/>
          </w:tcPr>
          <w:p>
            <w:pPr>
              <w:spacing w:after="0"/>
              <w:ind/>
              <w:wordWrap w:val="0"/>
              <w:jc w:val="center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Для обеспечения условий доступности, позволяющих инвалидам получать услуги наравне с другими, необходимо обеспечить следующие условия:</w:t>
            </w: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- наличие возможности предоставления услуги в дистанционном режиме или на дому</w:t>
            </w:r>
          </w:p>
        </w:tc>
      </w:tr>
      <w:p>
        <w:r>
          <w:br w:type="page"/>
        </w:r>
      </w:p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bottom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i/>
                <w:b/>
                <w:sz w:val="24"/>
                <w:szCs w:val="24"/>
                <w:color w:val="000000"/>
              </w:rPr>
              <w:t>3.3. Удовлетворенность доступностью услуг для инвалидов</w:t>
            </w:r>
          </w:p>
        </w:tc>
      </w:tr>
      <w:tr>
        <w:trPr>
          <w:cantSplit/>
          <w:trHeight w:val="0" w:hRule="auto"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Доля получателей услуг, удовлетворенных доступностью услуг для инвалидов: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tcMar/>
            <w:textDirection w:val="lrTb"/>
            <w:vAlign w:val="center"/>
          </w:tcPr>
          <w:p>
            <w:pPr>
              <w:spacing w:after="0"/>
              <w:ind/>
              <w:wordWrap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100</w:t>
            </w:r>
          </w:p>
        </w:tc>
      </w:tr>
      <w:tr>
        <w:trPr>
          <w:cantSplit/>
          <w:trHeight w:val="0" w:hRule="auto"/>
        </w:trPr>
        <w:tc>
          <w:tcPr>
            <w:tcW w:w="189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  <w:r>
              <w:rPr>
                <w:rFonts w:ascii="Times New Roman" w:hAnsi="Times New Roman"/>
                <w:i/>
                <w:b/>
                <w:sz w:val="24"/>
                <w:szCs w:val="24"/>
                <w:color w:val="000000"/>
              </w:rPr>
              <w:t>Рекомендации:</w:t>
            </w: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Для повышения и сохранения высокого уровня удовлетворенности доступностью услуг для инвалидов целесообразно на регулярной основе осуществлять контроль за состоянием элементов доступной среды и обеспечением условий, позволяющих инвалидам получать услуги наравне с другими.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Целесообразно проводить внутренний мониторинг удовлетворенности получателей услуг доступностью услуг для инвалидов.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4. ДОБРОЖЕЛАТЕЛЬНОСТЬ, ВЕЖЛИВОСТЬ РАБОТНИКОВ ОРГАНИЗАЦИИ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Показатель «Доброжелательность, вежливость работников организации» формируется за счет получения субъективных оценок получателей услуг, собираемых в ходе опроса.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5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Доля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tcMar/>
            <w:textDirection w:val="lrTb"/>
            <w:vAlign w:val="center"/>
          </w:tcPr>
          <w:p>
            <w:pPr>
              <w:spacing w:after="0"/>
              <w:ind/>
              <w:wordWrap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95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Доля получателей услуг, удовлетворенных доброжелательностью, вежливостью работников организации социального обслуживания, обеспечивающих непосредственное оказание услуги при обращении в организацию (учреждение):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tcMar/>
            <w:textDirection w:val="lrTb"/>
            <w:vAlign w:val="center"/>
          </w:tcPr>
          <w:p>
            <w:pPr>
              <w:spacing w:after="0"/>
              <w:ind/>
              <w:wordWrap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97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Доля получателей услуг, удовлетворенных доброжелательностью, вежливостью работников организации социального обслуживания при использовании дистанционных форм взаимодействия (по телефону, по электронной почте, с помощью электронных сервисов, получение консультации по оказываемым услугам и пр.):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tcMar/>
            <w:textDirection w:val="lrTb"/>
            <w:vAlign w:val="center"/>
          </w:tcPr>
          <w:p>
            <w:pPr>
              <w:spacing w:after="0"/>
              <w:ind/>
              <w:wordWrap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98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9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  <w:r>
              <w:rPr>
                <w:rFonts w:ascii="Times New Roman" w:hAnsi="Times New Roman"/>
                <w:i/>
                <w:b/>
                <w:sz w:val="24"/>
                <w:szCs w:val="24"/>
                <w:color w:val="000000"/>
              </w:rPr>
              <w:t>Рекомендации:</w:t>
            </w: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Для сохранения высокого уровня удовлетворенности доброжелательностью и вежливостью сотрудников организации и повышения этого уровня важно выстраивать с получателями грамотную коммуникацию. Основным принципом взаимоотношений между получателем услуг и представителем организации должен стать принцип уважения к личности. Культура общения  проявляется в умении выслушать, в проявлении отзывчивости и сопереживания. 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Целесообразно проводить внутренний мониторинг удовлетворенности получателей услуг доброжелательностью и вежливостью сотрудников организации.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p>
        <w:r>
          <w:br w:type="page"/>
        </w:r>
      </w:p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5. УДОВЛЕТВОРЕННОСТЬ УСЛОВИЯМИ ОКАЗАНИЯ УСЛУГ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5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Доля получателей услуг, которые готовы рекомендовать организацию культуры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tcMar/>
            <w:textDirection w:val="lrTb"/>
            <w:vAlign w:val="center"/>
          </w:tcPr>
          <w:p>
            <w:pPr>
              <w:spacing w:after="0"/>
              <w:ind/>
              <w:wordWrap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94</w:t>
            </w:r>
          </w:p>
        </w:tc>
      </w:tr>
      <w:tr>
        <w:trPr>
          <w:cantSplit/>
          <w:trHeight w:val="0" w:hRule="auto"/>
        </w:trPr>
        <w:tc>
          <w:tcPr>
            <w:tcW w:w="8115" w:type="dxa"/>
            <w:gridSpan w:val="8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Доля получателей услуг, удовлетворенных организационными условиями оказания услуг (графиком и режимом работы) организации 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tcMar/>
            <w:textDirection w:val="lrTb"/>
            <w:vAlign w:val="center"/>
          </w:tcPr>
          <w:p>
            <w:pPr>
              <w:spacing w:after="0"/>
              <w:ind/>
              <w:wordWrap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96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15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811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tcMar>
              <w:left w:w="0" w:type="dxa"/>
            </w:tcMar>
            <w:textDirection w:val="lrTb"/>
            <w:vAlign w:val="center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Доля получателей услуг, удовлетворенных в целом условиями оказания услуг в организации культуры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bfbfbf"/>
            <w:tcMar/>
            <w:textDirection w:val="lrTb"/>
            <w:vAlign w:val="center"/>
          </w:tcPr>
          <w:p>
            <w:pPr>
              <w:spacing w:after="0"/>
              <w:ind/>
              <w:wordWrap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color w:val="000000"/>
              </w:rPr>
              <w:t>97</w:t>
            </w:r>
          </w:p>
        </w:tc>
      </w:tr>
      <w:tr>
        <w:trPr>
          <w:cantSplit/>
          <w:trHeight w:val="0" w:hRule="auto"/>
        </w:trPr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890" w:type="dxa"/>
            <w:gridSpan w:val="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  <w:r>
              <w:rPr>
                <w:rFonts w:ascii="Times New Roman" w:hAnsi="Times New Roman"/>
                <w:i/>
                <w:b/>
                <w:sz w:val="24"/>
                <w:szCs w:val="24"/>
                <w:color w:val="000000"/>
              </w:rPr>
              <w:t>Рекомендации:</w:t>
            </w: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5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18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2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61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  <w:tc>
          <w:tcPr>
            <w:tcW w:w="168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9795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Уровень удовлетворенности условиями оказания услуг зависит от совокупности факторов, в том числе рассматриваемых в рамках независимой оценки качества. 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Важным направлением повышения уровня удовлетворенности выступает диалог с получателями услуг, в ходе которого можно определить причины недовольства, выявить недостатки в работе организации, найти оптимальные варианты решения проблем. </w:t>
            </w:r>
          </w:p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Times New Roman" w:hAnsi="Times New Roman"/>
                <w:sz w:val="24"/>
                <w:szCs w:val="24"/>
                <w:color w:val="000000"/>
              </w:rPr>
              <w:t>Целесообразно проводить внутренний мониторинг удовлетворенности получателей услуг разными аспектами условий оказания услуг, тренинги с сотрудниками организации, повышающие коммуникативные компетенции и снижающие риск возникновения синдрома профессионального выгорания.</w:t>
            </w:r>
          </w:p>
        </w:tc>
      </w:tr>
    </w:tbl>
    <w:sectPr>
      <w:footerReference w:type="default" r:id="rId9"/>
      <w:footerReference w:type="first" r:id="rId11"/>
      <w:pgSz w:w="11907" w:h="16839" w:orient="portrait"/>
      <w:pgMar w:top="567" w:right="567" w:bottom="567" w:left="1417"/>
      <w:titlePg/>
    </w:sectPr>
  </w:body>
</w:document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  <w:sdtContent>
      <w:p>
        <w:pPr>
          <w:pStyle w:val="a4"/>
        </w:pPr>
        <w:r>
          <w:ptab w:alignment="center" w:relativeTo="margin" w:leader="none"/>
        </w:r>
        <w:r>
          <w:rPr>
            <w:color w:val="000000"/>
            <w:rFonts w:ascii="Arial" w:hAnsi="Arial"/>
            <w:sz w:val="16"/>
          </w:rPr>
          <w:r>
            <w:rPr>
              <w:rFonts w:ascii="Arial" w:hAnsi="Arial"/>
              <w:sz w:val="16"/>
              <w:fldChar w:fldCharType="begin"/>
            </w:rPr>
          </w:r>
          <w:r>
            <w:rPr>
              <w:rFonts w:ascii="Arial" w:hAnsi="Arial"/>
              <w:sz w:val="16"/>
              <w:instrText> PAGE   \* MERGEFORMAT </w:instrText>
            </w:rPr>
          </w:r>
          <w:r>
            <w:rPr>
              <w:rFonts w:ascii="Arial" w:hAnsi="Arial"/>
              <w:sz w:val="16"/>
              <w:fldChar w:fldCharType="separate"/>
            </w:rPr>
          </w:r>
          <w:r>
            <w:rPr>
              <w:rFonts w:ascii="Arial" w:hAnsi="Arial"/>
              <w:sz w:val="16"/>
              <w:fldChar w:fldCharType="end"/>
            </w:rPr>
          </w:r>
        </w:r>
      </w:p>
    </w:sdtContent>
  </w:sdt>
  <w:p>
    <w:pPr>
      <w:pStyle w:val="a4"/>
    </w:pPr>
  </w:p>
</w:ftr>
</file>

<file path=word/footer2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</w:sdt>
  <w:p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rId9">
    <w:name w:val="footer"/>
  </w:style>
  <w:style w:type="paragraph" w:styleId="rId11">
    <w:name w:val="footer"/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